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236</w:t>
      </w:r>
    </w:p>
    <w:p>
      <w:r>
        <w:t>Bundesgericht (BGE), 2002-09-24, FR</w:t>
      </w:r>
    </w:p>
    <w:p>
      <w:r>
        <w:rPr>
          <w:b/>
        </w:rPr>
        <w:t xml:space="preserve">Quelle: </w:t>
      </w:r>
      <w:r>
        <w:t>https://mcp.opencaselaw.ch/entscheid/bge_128 V 236</w:t>
      </w:r>
    </w:p>
    <w:p>
      <w:r>
        <w:t>FR: ATF 128 V 236</w:t>
      </w:r>
    </w:p>
    <w:p>
      <w:r>
        <w:t>IT: DTF 128 V 236</w:t>
      </w:r>
    </w:p>
    <w:p>
      <w:pPr>
        <w:pStyle w:val="Heading2"/>
      </w:pPr>
      <w:r>
        <w:t>Regeste</w:t>
      </w:r>
    </w:p>
    <w:p>
      <w:r>
        <w:t>Regeste Art. 63 OR; Art. 47 Abs. 1 AHVG: Rückerstattung unrechtmässig bezogener Leistungen im Bereich der Beruflichen Vorsorge. Mangels statutarischer oder reglementarischer Regelung stützt sich die Forderung auf Rückerstattung von Leistungen der beruflichen Vorsorge, welche eine Vorsorgeeinrichtung zu Unrecht ausgerichtet hat, auf die Art. 62 ff. OR. Erstreckung der in BGE 128 V 50 für die weitergehende Vorsorge entwickelten Grundsätze auf den obligatorischen Bereich. Verjährungseinrede. Art. 2 Abs. 2 ZGB: Rechtsmissbräuchliche Verjährungseinrede. Bei länger anhaltendem Schweigen des Schuldners während der Einigungsverhandlungen muss der Gläubiger reagieren. Der Schuldner, der sich auf die Verjährung einer Forderung beruft, handelt nicht rechtsmissbräuchlich, wenn sein Verhalten für die verspätete Handlung des Gläubigers nicht mehr kausal ist.</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 ATF 128 V 51 consid. 1a et la référence); le recours de droit administratif est recevable de ce chef. BGE 128 V 236 S. 239 b) Le litige porte sur la prétention de la recourante au remboursement de 28'900 fr. 70 plus accessoires, au titre d'une prestation de libre passage versée à tort. L'instance cantonale a rejeté la demande aux motifs que le droit de répéter l'indu était prescrit et que l'intimé pouvait s'en prévaloir sans commettre un abus de droit. Les prétentions litigieuses concernent la prévoyance professionnelle obligatoire et plus étendue.</w:t>
      </w:r>
    </w:p>
    <w:p>
      <w:r>
        <w:rPr>
          <w:b/>
        </w:rPr>
        <w:t>E. 2</w:t>
      </w:r>
    </w:p>
    <w:p>
      <w:r>
        <w:t>a) Selon la jurisprudence, l'obligation de restituer l'indu se fonde en premier lieu sur les dispositions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A défaut de norme statutaire ou réglementaire, la demande de restitution de prestations de la prévoyance professionnelle plus étendue versées à tort par une institution de prévoyance se fonde sur les art. 62 ss CO , notamment l' art. 63 al. 1 CO ( ATF 128 V 52 consid. 3a); en revanche, dans la prévoyance obligatoire, la question de savoir s'il y a lieu de faire application de l' art. 47 LAVS , considéré comme l'expression d'un principe de portée générale, ou s'il convient d'appliquer également les règles du CO ( ATF 115 V 118 consid. 3b) à une prétention en restitution de l'indu, a été laissée ouverte. b) Les prétentions de la recourante touchant à la prévoyance professionnelle obligatoire et plus étendue, il convient donc d'examiner la prétention en restitution dans le domaine de la prévoyance obligatoire. L'application de l' art. 47 LAVS ou des art. 63 ss CO n'est pas indifférente quant au sort des prétentions de la recourante. Outre la base du remboursement de la prestation obligatoire, les deux systèmes divergent sur l'étendue de la restitution: limitée, sauf dessaisissement de mauvaise foi, à l'enrichissement encore présent chez le débiteur lors de la demande, conformément à l' art. 64 CO , l'obligation de restituer peut être remise si le débiteur est de bonne foi et dans une situation difficile selon les art. 47 LAVS et 79 RAVS. Sous cet angle, aucune des solutions n'est totalement satisfaisante (ROMAN SCHNYDER, Das nichtstreitige Verfahren in Versicherungsfällen der obligatorischen und der erweiterten beruflichen Vorsorge, thèse Fribourg 1994, p. 170 ss). BGE 128 V 236 S. 240 L' art. 47 LAVS , comme fondement de l'obligation de restituer des prestations versées à tort, s'applique dans la plupart des branches du droit des assurances sociales, soit qu'elles renvoient expressément à cette disposition, soit qu'elles contiennent une règle analogue. La transposition de l' art. 47 LAVS dans la prévoyance professionnelle apparaît toutefois difficile, car son application suppose entre le créancier et le débiteur un rapport d'autorité, inconnu de la LPP, permettant au premier d'exiger du second, par voie de décision, qu'il exécute son obligation ( ATF 115 V 118 consid. 3b déjà cité). A cet obstacle concret, militant pour l'application des règles relatives à l'enrichissement illégitime ( art. 62 ss CO ), dans la prévoyance obligatoire, s'ajoute la récente jurisprudence instaurant, à défaut de norme réglementaire ou statutaire, l'application de ces mêmes règles au remboursement de prestations de la prévoyance plus étendue versées à tort ( ATF 128 V 52 consid. 3a susmentionné). En effet, un traitement identique de la même problématique, dans la prévoyance obligatoire et dans la prévoyance plus étendue, apparaît souhaitable (SCHNYDER, op. cit., p. 173). Une différence de traitement dans le remboursement de prestations versées à tort, selon qu'elles ressortissent à la première ou à la seconde, n'apparaît pas justifiée par une raison objective, sauf à considérer que l' art. 47 LAVS est un principe général dont l'application ne souffre aucune exception dans le domaine des assurances sociales régies par le droit fédéral. A cet égard cependant, l' art. 25 LPGA , qui reprend la teneur de l' art. 47 LAVS et qui s'appliquera, dès l'entrée en vigueur de la loi fédérale sur la partie générale du droit des assurances sociales, à la restitution des prestations indûment touchées, ne trouvera pas application dans la prévoyance professionnelle. En définitive, les arguments militent pour l'application dans la prévoyance obligatoire des règles dégagées par la Cour de céans relatives à la restitution de prestations de la prévoyance plus étendue versées à tort. c) Aucune disposition statutaire ou réglementaire de la recourante ne règle les modalités de la restitution de prestations versées à tort. Les règles relatives à l'enrichissement illégitime ( art. 62 ss CO ) s'appliquent donc à la prétention de l'institution de prévoyance au remboursement de 28'900 fr. 70 plus accessoires.</w:t>
      </w:r>
    </w:p>
    <w:p>
      <w:r>
        <w:rPr>
          <w:b/>
        </w:rPr>
        <w:t>E. 3</w:t>
      </w:r>
    </w:p>
    <w:p>
      <w:r>
        <w:t>Le point de savoir si les conditions d'une répétition de l'indu ( art. 63 al. 1 CO ) sont remplies peut demeurer indécis. En effet, l'exception de prescription soulevée par le débiteur doit être admise. BGE 128 V 236 S. 241 a) En vertu de l' art. 67 al. 1 CO , l'action pour cause d'enrichissement illégitime se prescrit par un an à compter du jour où la partie lésée a eu connaissance de son droit de répétition, et, dans tous les cas, par dix ans dès la naissance de ce droit. b) La recourante a eu connaissance (sur ce point, cf. ATF 127 III 427 consid. 4b) du versement litigieux au plus tard le 22 août 1994, date à laquelle elle a informé l'intimé qu'elle avait versé deux fois par erreur le montant de la prestation de libre passage. Au regard de l' art. 135 ch. 2 CO , la prescription annale a été interrompue valablement le 14 février 1995 par la notification d'un commandement de payer, mais elle était acquise le 15 février 1996, faute d'un nouvel acte interruptif de prescription avant cette date. Le droit de répéter l'indu est dès lors prescrit et ni la notification d'un commandement de payer le 6 mai 1999, ni la demande en justice du 2 mai 2000, ne peuvent y remédier.</w:t>
      </w:r>
    </w:p>
    <w:p>
      <w:r>
        <w:rPr>
          <w:b/>
        </w:rPr>
        <w:t>E. 4</w:t>
      </w:r>
    </w:p>
    <w:p>
      <w:r>
        <w:t>Le litige porte sur le point de savoir si l'intimé a commis un abus de droit en invoquant le moyen de la prescription. a) Selon la doctrine et la jurisprudence, 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113 II 269 consid. 2e et les références). Des considérations du même ordre se déduisent, en droit public, du principe de la bonne foi ( ATF 116 Ib 398 consid. 4e et ATF 116 II 431 consid. 2). Le débiteur aura - alors que le délai courait encore - déterminé le créancier à attendre ( ATF 113 II 269 consid. 2e précité). L'abus de droit ne consiste pas dans le comportement du débiteur qui incite le créancier à ne pas entreprendre de démarches juridiques, mais dans le fait que le débiteur ayant eu ce comportement se prévale de la prescription ( ATF 83 II 93 ss; ALFRED KOLLER, Verjährung von Versicherungsansprüchen, in: Haftpflicht- und Versicherungsrechtstagung 1993, St. Gallen 1993, p. 34 note 114). Le simple écoulement du temps pendant le délai de prescription ne peut être interprété ni comme une renonciation à la prétention, ni comme son exercice abusif ( ATF 110 II 273 ). Pour admettre un abus de droit, il faut que le comportement du débiteur soit en relation de causalité avec le retard à agir du créancier (STEPHEN V. BERTI, Kommentar zum BGE 128 V 236 S. 242 Schweizerischen Zivilgesetzbuch [Commentaire zurichois], Obligationenrecht, Das Erlöschen der Obligationen: Art. 127-142 OR , 3ème édition, Zurich 2002, no 33 et 34 ad art. 142 CO ). Lors de pourparlers, le créancier doit réagir en cas de silence prolongé du débiteur. Selon KARL SPIRO (Die Begrenzung privater Rechte durch Verjährungs-, Verwirkungs- und Fatalfristen, Vol. I: Die Verjährung der Forderungen, Berne 1975, p. 248 ss § 108 et 109), le temps de réaction dépend des circonstances, mais il ne saurait dépasser le délai de prescription applicable en cas d'interruption de la prescription. b) Ainsi que cela ressort du dossier, le comportement de l'intimé a incité la recourante à renoncer à entreprendre d'autres démarches juridiques pendant le délai de prescription et jusqu'en mai 1996. Sommé par l'institution de prévoyance de prendre position, celui-ci, dans sa réponse du 25 mai 1996, n'a pas pris position. Il s'en est suivi un silence prolongé du débiteur. La créancière n'a pas réagi jusqu'au 12 mai 1998, date à laquelle elle a envoyé à l'intimé un nouveau décompte et fixé un délai pour le remboursement. Il y a eu ensuite un nouveau rappel, la notification d'un commandement de payer le 6 mai 1999 et l'ouverture de l'action. L'astuce du débiteur n'est pas en cause. L'analyse du retard compréhensible, selon une appréciation raisonnable fondée sur des critères objectifs, doit permettre des exceptions à la règle absolue du délai de prescription préconisée par Spiro. En l'espèce, il n'existe cependant aucun élément objectif qui permette de retenir un abus de droit de la part de l'intimé. Le retard à agir de la recourante dès le 25 mai 1996, pendant près de deux ans jusqu'à la lettre du 12 mai 1998 et près de trois ans jusqu'à la notification du commandement de payer du 6 mai 1999, n'apparaît pas compréhensible. Il n'est en tous les cas plus causé par le comportement de l'intimé. Il s'ensuit que le recours doit être rejeté.</w:t>
      </w:r>
    </w:p>
    <w:p>
      <w:r>
        <w:rPr>
          <w:b/>
        </w:rPr>
        <w:t>E. 5</w:t>
      </w:r>
    </w:p>
    <w:p>
      <w:r>
        <w:t>L'intimé, qui obtient gain de cause, est avocat. Selon la jurisprudence ( ATF 110 V 132 ; VSI 2000 p. 337 consid. 5 non publié aux ATF 125 V 408 ), l'avocat qui agit dans sa propre cause peut exceptionnellement prétendre une indemnité pour l'activité personnelle qu'il a déployée ainsi que pour sa perte de temps ou de gain. Ces conditions, qui doivent être remplies cumulativement, ne sont pas remplies dans le cas d'espèce. En effet, il ne s'agit pas d'une affaire complexe portant sur un objet litigieux élevé et nécessitant beaucoup de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